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EB" w:rsidRDefault="00801BEB" w:rsidP="00FC75EB">
      <w:pPr>
        <w:pStyle w:val="a3"/>
        <w:jc w:val="both"/>
      </w:pPr>
      <w:r>
        <w:tab/>
      </w:r>
      <w:r w:rsidR="00C43EA8">
        <w:t xml:space="preserve">Понятие субъектов малого и среднего предпринимательства (далее - МСП) установлено </w:t>
      </w:r>
      <w:hyperlink r:id="rId6" w:history="1">
        <w:r w:rsidR="00C43EA8">
          <w:rPr>
            <w:rStyle w:val="a4"/>
          </w:rPr>
          <w:t>Федеральным законом</w:t>
        </w:r>
      </w:hyperlink>
      <w:r w:rsidR="00C43EA8">
        <w:t xml:space="preserve"> от 24.07.2007 N 209-ФЗ "О развитии малого и среднего предпринимательства в Российской Федерации" (далее - Закон N 209-ФЗ).</w:t>
      </w:r>
      <w:r w:rsidR="00C43EA8">
        <w:br/>
        <w:t xml:space="preserve">Субъектами МСП являются хозяйствующие субъекты (юридические лица и индивидуальные предприниматели), отнесенные в соответствии с условиями, установленными </w:t>
      </w:r>
      <w:hyperlink r:id="rId7" w:history="1">
        <w:r w:rsidR="00C43EA8">
          <w:rPr>
            <w:rStyle w:val="a4"/>
          </w:rPr>
          <w:t>Законом</w:t>
        </w:r>
      </w:hyperlink>
      <w:r w:rsidR="00C43EA8">
        <w:t xml:space="preserve"> N 209-ФЗ, к малым предприятиям, в том числе к </w:t>
      </w:r>
      <w:proofErr w:type="spellStart"/>
      <w:r w:rsidR="00C43EA8">
        <w:t>микропредприятиям</w:t>
      </w:r>
      <w:proofErr w:type="spellEnd"/>
      <w:r w:rsidR="00C43EA8">
        <w:t>, и средним предприятиям (</w:t>
      </w:r>
      <w:hyperlink r:id="rId8" w:anchor="block_31" w:history="1">
        <w:r w:rsidR="00C43EA8">
          <w:rPr>
            <w:rStyle w:val="a4"/>
          </w:rPr>
          <w:t>п. 1 ст. 3</w:t>
        </w:r>
      </w:hyperlink>
      <w:r w:rsidR="00C43EA8">
        <w:t xml:space="preserve"> Закон N 209-ФЗ).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 xml:space="preserve">Отметим, что </w:t>
      </w:r>
      <w:hyperlink r:id="rId9" w:history="1">
        <w:r w:rsidR="00C43EA8">
          <w:rPr>
            <w:rStyle w:val="a4"/>
          </w:rPr>
          <w:t>Закон</w:t>
        </w:r>
      </w:hyperlink>
      <w:r w:rsidR="00C43EA8">
        <w:t xml:space="preserve"> N 209-ФЗ не устанавливает какой-либо обязательной процедуры подтверждения субъектами МСП своего статуса и не вводит обязательной государственной регистрации таких субъектов. Однако положениями данного закона предусмотрено ведение реестра субъектом МСП. Так, </w:t>
      </w:r>
      <w:hyperlink r:id="rId10" w:anchor="block_4101" w:history="1">
        <w:r w:rsidR="00C43EA8">
          <w:rPr>
            <w:rStyle w:val="a4"/>
          </w:rPr>
          <w:t>ч. 1 ст. 4.1</w:t>
        </w:r>
      </w:hyperlink>
      <w:r w:rsidR="00C43EA8">
        <w:t xml:space="preserve"> Закона N 209-ФЗ предусматривает, что сведения о юридических лицах и об индивидуальных предпринимателях, отвечающих условиям отнесения к субъектам МСП, установленным ст. 4 этого федерального закона, вносятся в единый реестр субъектов МСП в соответствии с указанной статьей.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 xml:space="preserve">В соответствии с </w:t>
      </w:r>
      <w:hyperlink r:id="rId11" w:anchor="block_4104" w:history="1">
        <w:r w:rsidR="00C43EA8">
          <w:rPr>
            <w:rStyle w:val="a4"/>
          </w:rPr>
          <w:t>ч. 4 ст. 4.1</w:t>
        </w:r>
      </w:hyperlink>
      <w:r w:rsidR="00C43EA8">
        <w:t xml:space="preserve"> Закона N 209-ФЗ внесение сведений о юридических лицах и об ИП в реестр субъектов МСП и исключение таких сведений из данного реестра осуществляются уполномоченным органом на основании сведений, содержащихся в ЕГРЮЛ, или ЕГРИП, представленных в соответствии с законодательством РФ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году, а также сведений, представленных в уполномоченный орган в соответствии с ч.ч. 5-6.4 той же статьи.</w:t>
      </w:r>
      <w:r w:rsidR="00C43EA8">
        <w:br/>
      </w:r>
      <w:r>
        <w:tab/>
      </w:r>
      <w:r w:rsidR="00C43EA8">
        <w:t>Уполномоченным органом в целях ведения Реестра является Федеральная налоговая служба (</w:t>
      </w:r>
      <w:hyperlink r:id="rId12" w:anchor="block_4102" w:history="1">
        <w:r w:rsidR="00C43EA8">
          <w:rPr>
            <w:rStyle w:val="a4"/>
          </w:rPr>
          <w:t>ч. 2 ст. 4.1</w:t>
        </w:r>
      </w:hyperlink>
      <w:r w:rsidR="00C43EA8">
        <w:t xml:space="preserve"> Закона N 209-ФЗ, п. 1 Положения о Федеральной налоговой службе, утвержденного </w:t>
      </w:r>
      <w:hyperlink r:id="rId13" w:history="1">
        <w:r w:rsidR="00C43EA8">
          <w:rPr>
            <w:rStyle w:val="a4"/>
          </w:rPr>
          <w:t>постановлением</w:t>
        </w:r>
      </w:hyperlink>
      <w:r w:rsidR="00C43EA8">
        <w:t xml:space="preserve"> Правительства РФ от 30.09.2004 N 506).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>В реестре субъектов МСП содержатся в том числе сведения о категории субъекта МСП (</w:t>
      </w:r>
      <w:hyperlink r:id="rId14" w:anchor="block_41035" w:history="1">
        <w:r w:rsidR="00C43EA8">
          <w:rPr>
            <w:rStyle w:val="a4"/>
          </w:rPr>
          <w:t>п. 5 ч. 3 ст. 4.1</w:t>
        </w:r>
      </w:hyperlink>
      <w:r w:rsidR="00C43EA8">
        <w:t xml:space="preserve"> Закона N 209-ФЗ).</w:t>
      </w:r>
    </w:p>
    <w:p w:rsidR="00FC75EB" w:rsidRPr="00FC75EB" w:rsidRDefault="00801BEB" w:rsidP="00FC75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C43EA8" w:rsidRPr="00FC75EB">
        <w:rPr>
          <w:rFonts w:ascii="Times New Roman" w:hAnsi="Times New Roman" w:cs="Times New Roman"/>
          <w:sz w:val="24"/>
          <w:szCs w:val="24"/>
        </w:rPr>
        <w:t xml:space="preserve">Категории субъектов МСП определены </w:t>
      </w:r>
      <w:hyperlink r:id="rId15" w:anchor="block_4" w:history="1">
        <w:r w:rsidR="00C43EA8" w:rsidRPr="00FC75EB">
          <w:rPr>
            <w:rStyle w:val="a4"/>
            <w:rFonts w:ascii="Times New Roman" w:hAnsi="Times New Roman" w:cs="Times New Roman"/>
            <w:sz w:val="24"/>
            <w:szCs w:val="24"/>
          </w:rPr>
          <w:t>ст. 4</w:t>
        </w:r>
      </w:hyperlink>
      <w:r w:rsidR="00C43EA8" w:rsidRPr="00FC75EB">
        <w:rPr>
          <w:rFonts w:ascii="Times New Roman" w:hAnsi="Times New Roman" w:cs="Times New Roman"/>
          <w:sz w:val="24"/>
          <w:szCs w:val="24"/>
        </w:rPr>
        <w:t xml:space="preserve"> Закона N 209-ФЗ. Из положений данной нормы следует, что все субъекты МСП подразделяются на следующие категории:</w:t>
      </w:r>
      <w:r w:rsidR="00C43EA8" w:rsidRPr="00FC75E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C43EA8" w:rsidRPr="00FC75E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="00C43EA8" w:rsidRPr="00FC75EB">
        <w:rPr>
          <w:rFonts w:ascii="Times New Roman" w:hAnsi="Times New Roman" w:cs="Times New Roman"/>
          <w:sz w:val="24"/>
          <w:szCs w:val="24"/>
        </w:rPr>
        <w:t xml:space="preserve"> (выделяются среди малых предприятий);</w:t>
      </w:r>
    </w:p>
    <w:p w:rsidR="00FC75EB" w:rsidRPr="00FC75EB" w:rsidRDefault="00C43EA8" w:rsidP="00FC75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75EB">
        <w:rPr>
          <w:rFonts w:ascii="Times New Roman" w:hAnsi="Times New Roman" w:cs="Times New Roman"/>
          <w:sz w:val="24"/>
          <w:szCs w:val="24"/>
        </w:rPr>
        <w:t>- малые предприятия;</w:t>
      </w:r>
    </w:p>
    <w:p w:rsidR="00FC75EB" w:rsidRPr="00FC75EB" w:rsidRDefault="00C43EA8" w:rsidP="00FC75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C75EB">
        <w:rPr>
          <w:rFonts w:ascii="Times New Roman" w:hAnsi="Times New Roman" w:cs="Times New Roman"/>
          <w:sz w:val="24"/>
          <w:szCs w:val="24"/>
        </w:rPr>
        <w:t>- средние предприятия.</w:t>
      </w:r>
    </w:p>
    <w:p w:rsidR="00FC75EB" w:rsidRPr="00FC75EB" w:rsidRDefault="00801B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="00C43EA8" w:rsidRPr="00FC75EB">
        <w:rPr>
          <w:rFonts w:ascii="Times New Roman" w:hAnsi="Times New Roman" w:cs="Times New Roman"/>
          <w:sz w:val="24"/>
          <w:szCs w:val="24"/>
        </w:rPr>
        <w:t xml:space="preserve">Конкретные критерии и условия отнесения субъектов МСП к той или иной категории определены </w:t>
      </w:r>
      <w:hyperlink r:id="rId16" w:anchor="block_40112" w:history="1">
        <w:r w:rsidR="00C43EA8" w:rsidRPr="00FC75EB">
          <w:rPr>
            <w:rStyle w:val="a3"/>
            <w:rFonts w:ascii="Times New Roman" w:hAnsi="Times New Roman" w:cs="Times New Roman"/>
            <w:sz w:val="24"/>
            <w:szCs w:val="24"/>
          </w:rPr>
          <w:t>п.п. 2</w:t>
        </w:r>
      </w:hyperlink>
      <w:r w:rsidR="00C43EA8" w:rsidRPr="00FC75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anchor="block_4011201" w:history="1">
        <w:r w:rsidR="00C43EA8" w:rsidRPr="00FC75EB">
          <w:rPr>
            <w:rStyle w:val="a3"/>
            <w:rFonts w:ascii="Times New Roman" w:hAnsi="Times New Roman" w:cs="Times New Roman"/>
            <w:sz w:val="24"/>
            <w:szCs w:val="24"/>
          </w:rPr>
          <w:t>2.1</w:t>
        </w:r>
      </w:hyperlink>
      <w:r w:rsidR="00C43EA8" w:rsidRPr="00FC75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anchor="block_40113" w:history="1">
        <w:r w:rsidR="00C43EA8" w:rsidRPr="00FC75EB">
          <w:rPr>
            <w:rStyle w:val="a3"/>
            <w:rFonts w:ascii="Times New Roman" w:hAnsi="Times New Roman" w:cs="Times New Roman"/>
            <w:sz w:val="24"/>
            <w:szCs w:val="24"/>
          </w:rPr>
          <w:t>3 ч. 1.1 ст. 4</w:t>
        </w:r>
      </w:hyperlink>
      <w:r w:rsidR="00C43EA8" w:rsidRPr="00FC75EB">
        <w:rPr>
          <w:rFonts w:ascii="Times New Roman" w:hAnsi="Times New Roman" w:cs="Times New Roman"/>
          <w:sz w:val="24"/>
          <w:szCs w:val="24"/>
        </w:rPr>
        <w:t xml:space="preserve"> Закона N 209-ФЗ (</w:t>
      </w:r>
      <w:hyperlink r:id="rId19" w:anchor="block_43" w:history="1">
        <w:r w:rsidR="00C43EA8" w:rsidRPr="00FC75EB">
          <w:rPr>
            <w:rStyle w:val="a3"/>
            <w:rFonts w:ascii="Times New Roman" w:hAnsi="Times New Roman" w:cs="Times New Roman"/>
            <w:sz w:val="24"/>
            <w:szCs w:val="24"/>
          </w:rPr>
          <w:t>ч. 3 ст. 4</w:t>
        </w:r>
      </w:hyperlink>
      <w:r w:rsidR="00C43EA8" w:rsidRPr="00FC75EB">
        <w:rPr>
          <w:rFonts w:ascii="Times New Roman" w:hAnsi="Times New Roman" w:cs="Times New Roman"/>
          <w:sz w:val="24"/>
          <w:szCs w:val="24"/>
        </w:rPr>
        <w:t xml:space="preserve"> Закона N 209-ФЗ).</w:t>
      </w:r>
      <w:r w:rsidR="00C43EA8" w:rsidRPr="00FC75EB">
        <w:rPr>
          <w:rFonts w:ascii="Times New Roman" w:hAnsi="Times New Roman" w:cs="Times New Roman"/>
          <w:sz w:val="24"/>
          <w:szCs w:val="24"/>
        </w:rPr>
        <w:br/>
      </w:r>
      <w:r w:rsidRPr="00FC75EB">
        <w:rPr>
          <w:rFonts w:ascii="Times New Roman" w:hAnsi="Times New Roman" w:cs="Times New Roman"/>
          <w:sz w:val="24"/>
          <w:szCs w:val="24"/>
        </w:rPr>
        <w:tab/>
      </w:r>
      <w:r w:rsidR="00FC75EB" w:rsidRPr="00FC7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отнесения к субъектам малого и среднего предпринимательства</w:t>
      </w:r>
      <w:r w:rsidR="00FC75EB"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малым и средним относятся предприятия, отвечающие следующим критериям: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Суммарная доля участия РФ, субъектов РФ, муниципальных образований, общественных и религиозных организаций (объединений), благотворительных и иных фондов в уставном капитале общества с ограниченной ответственностью, складочном капитале хозяйственного товарищества, голосующих акций акционерного обществ:  не более 25%;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Суммарная доля участия в уставном капитале </w:t>
      </w:r>
      <w:proofErr w:type="spellStart"/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капитале</w:t>
      </w:r>
      <w:proofErr w:type="spellEnd"/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с ограниченной ответственностью, складочном капитале хозяйственного товарищества, голосующих акций акционерного общества, принадлежащая иностранным юридическим лицам и (или) 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юридическим лицам, не являющимся субъектами малого и среднего предпринимательства: не более 49%.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Микро-предприятие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численность работников за предыдущий год</w:t>
      </w:r>
      <w:r w:rsidRPr="00FC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более 15 человек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товаров</w:t>
      </w:r>
      <w:r w:rsidRPr="00FC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120 млн. руб.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Малое предприятие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численность работников за предыдущий год</w:t>
      </w:r>
      <w:r w:rsidRPr="00FC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более 100 человек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товаров</w:t>
      </w:r>
      <w:r w:rsidRPr="00FC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: 800 млн. руб.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Среднее предприятие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численность работников за предыдущий год</w:t>
      </w:r>
      <w:r w:rsidRPr="00FC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101 до 250 человек включительно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товаров</w:t>
      </w:r>
      <w:r w:rsidRPr="00FC75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: 2 млрд.руб.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i/>
          <w:iCs/>
          <w:color w:val="696969"/>
          <w:sz w:val="24"/>
          <w:szCs w:val="24"/>
          <w:vertAlign w:val="superscript"/>
          <w:lang w:eastAsia="ru-RU"/>
        </w:rPr>
        <w:t>1</w:t>
      </w:r>
      <w:r w:rsidRPr="00FC75EB">
        <w:rPr>
          <w:rFonts w:ascii="Times New Roman" w:eastAsia="Times New Roman" w:hAnsi="Times New Roman" w:cs="Times New Roman"/>
          <w:i/>
          <w:iCs/>
          <w:color w:val="696969"/>
          <w:sz w:val="24"/>
          <w:szCs w:val="24"/>
          <w:lang w:eastAsia="ru-RU"/>
        </w:rPr>
        <w:t xml:space="preserve"> Средняя численность работников </w:t>
      </w:r>
      <w:proofErr w:type="spellStart"/>
      <w:r w:rsidRPr="00FC75EB">
        <w:rPr>
          <w:rFonts w:ascii="Times New Roman" w:eastAsia="Times New Roman" w:hAnsi="Times New Roman" w:cs="Times New Roman"/>
          <w:i/>
          <w:iCs/>
          <w:color w:val="696969"/>
          <w:sz w:val="24"/>
          <w:szCs w:val="24"/>
          <w:lang w:eastAsia="ru-RU"/>
        </w:rPr>
        <w:t>микропредприятия</w:t>
      </w:r>
      <w:proofErr w:type="spellEnd"/>
      <w:r w:rsidRPr="00FC75EB">
        <w:rPr>
          <w:rFonts w:ascii="Times New Roman" w:eastAsia="Times New Roman" w:hAnsi="Times New Roman" w:cs="Times New Roman"/>
          <w:i/>
          <w:iCs/>
          <w:color w:val="696969"/>
          <w:sz w:val="24"/>
          <w:szCs w:val="24"/>
          <w:lang w:eastAsia="ru-RU"/>
        </w:rPr>
        <w:t>, малого или среднего предприятия определяется с учетом всех его работников</w:t>
      </w:r>
      <w:r w:rsidRPr="00FC75EB">
        <w:rPr>
          <w:rFonts w:ascii="Times New Roman" w:eastAsia="Times New Roman" w:hAnsi="Times New Roman" w:cs="Times New Roman"/>
          <w:i/>
          <w:iCs/>
          <w:color w:val="696969"/>
          <w:sz w:val="24"/>
          <w:szCs w:val="24"/>
          <w:lang w:eastAsia="ru-RU"/>
        </w:rPr>
        <w:br/>
      </w:r>
      <w:r w:rsidRPr="00FC75EB">
        <w:rPr>
          <w:rFonts w:ascii="Times New Roman" w:eastAsia="Times New Roman" w:hAnsi="Times New Roman" w:cs="Times New Roman"/>
          <w:i/>
          <w:iCs/>
          <w:color w:val="696969"/>
          <w:sz w:val="24"/>
          <w:szCs w:val="24"/>
          <w:vertAlign w:val="superscript"/>
          <w:lang w:eastAsia="ru-RU"/>
        </w:rPr>
        <w:t>2</w:t>
      </w:r>
      <w:r w:rsidRPr="00FC75EB">
        <w:rPr>
          <w:rFonts w:ascii="Times New Roman" w:eastAsia="Times New Roman" w:hAnsi="Times New Roman" w:cs="Times New Roman"/>
          <w:i/>
          <w:iCs/>
          <w:color w:val="696969"/>
          <w:sz w:val="24"/>
          <w:szCs w:val="24"/>
          <w:lang w:eastAsia="ru-RU"/>
        </w:rPr>
        <w:t xml:space="preserve"> Выручка от реализации товаров (работ, услуг) без учета НДС или балансовая стоимость активов за предшествующий календарный год не должна превышать предельные значения, установленные Правительством РФ для каждой категории субъектов малого и среднего предпринимательства (п. 3 ст. 4 Закона № 209-ФЗ). С 2010 года предельные значения выручки от реализации товаров (работ, услуг) и балансовой стоимости активов будут устанавливаться Правительством РФ один раз в пять лет с учетом данных сплошных статистических наблюдений за деятельностью субъектов малого и среднего предпринимательства (п. 2 ст. 4 Закона № 209-ФЗ);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субъектам Малого и Среднего предпринимательства НЕ относятся: 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некоммерческие организации (за исключением потребительских кооперативов)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общественные объединения (общественные организации, общественные движения, общественные фонды, общественные учреждения, органы общественной самодеятельности, политические партии);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товарищества;</w:t>
      </w:r>
    </w:p>
    <w:p w:rsidR="00FC75EB" w:rsidRPr="00FC75EB" w:rsidRDefault="00FC75EB" w:rsidP="00FC75E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паевые инвестиционные фонды.</w:t>
      </w:r>
    </w:p>
    <w:p w:rsidR="00FC75EB" w:rsidRDefault="00801BEB" w:rsidP="00FC75EB">
      <w:pPr>
        <w:pStyle w:val="a3"/>
        <w:jc w:val="both"/>
      </w:pPr>
      <w:r>
        <w:tab/>
      </w:r>
      <w:hyperlink r:id="rId20" w:anchor="block_44" w:history="1">
        <w:r w:rsidR="00C43EA8">
          <w:rPr>
            <w:rStyle w:val="a4"/>
          </w:rPr>
          <w:t>Частью 4 ст. 4</w:t>
        </w:r>
      </w:hyperlink>
      <w:r w:rsidR="00C43EA8">
        <w:t xml:space="preserve"> Закона N 209-ФЗ установлено, что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hyperlink r:id="rId21" w:anchor="block_40112" w:history="1">
        <w:r w:rsidR="00C43EA8">
          <w:rPr>
            <w:rStyle w:val="a4"/>
          </w:rPr>
          <w:t>пунктах 2</w:t>
        </w:r>
      </w:hyperlink>
      <w:r w:rsidR="00C43EA8">
        <w:t xml:space="preserve">, </w:t>
      </w:r>
      <w:hyperlink r:id="rId22" w:anchor="block_4011201" w:history="1">
        <w:r w:rsidR="00C43EA8">
          <w:rPr>
            <w:rStyle w:val="a4"/>
          </w:rPr>
          <w:t>2.1</w:t>
        </w:r>
      </w:hyperlink>
      <w:r w:rsidR="00C43EA8">
        <w:t xml:space="preserve"> и </w:t>
      </w:r>
      <w:hyperlink r:id="rId23" w:anchor="block_40113" w:history="1">
        <w:r w:rsidR="00C43EA8">
          <w:rPr>
            <w:rStyle w:val="a4"/>
          </w:rPr>
          <w:t>3 части 1.1 ст. 4</w:t>
        </w:r>
      </w:hyperlink>
      <w:r w:rsidR="00C43EA8">
        <w:t xml:space="preserve"> Закона N 209-ФЗ, в течение трех календарных лет, следующих один за другим, при условии, что иное не установлено ст. 4 Закона N 209-ФЗ*(1).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 xml:space="preserve">Таким образом, утрата в определенном периоде критериев отнесения к соответствующей категории субъектов МСП не влечет изменение этой категории с момента изменения соответствующего показателя. Как прямо следует из </w:t>
      </w:r>
      <w:hyperlink r:id="rId24" w:anchor="block_44" w:history="1">
        <w:r w:rsidR="00C43EA8">
          <w:rPr>
            <w:rStyle w:val="a4"/>
          </w:rPr>
          <w:t>ч. 4 ст. 4</w:t>
        </w:r>
      </w:hyperlink>
      <w:r w:rsidR="00C43EA8">
        <w:t xml:space="preserve"> Закона N 209-ФЗ, категория хозяйствующего субъекта может быть изменена, только если превышение численности и (или) размера доходов над предельно допустимыми будет продолжаться три календарных года подряд (</w:t>
      </w:r>
      <w:hyperlink r:id="rId25" w:history="1">
        <w:r w:rsidR="00C43EA8">
          <w:rPr>
            <w:rStyle w:val="a4"/>
          </w:rPr>
          <w:t>письмо</w:t>
        </w:r>
      </w:hyperlink>
      <w:r w:rsidR="00C43EA8">
        <w:t xml:space="preserve"> Минэкономразвития РФ от 11.04.2016 N Д28и-913).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>Соответствующие изменения вносятся ФНС России в реестр субъектов МСП ежегодно 10 августа текущего календарного года на основании имеющихся у нее данных на 1 июля текущего календарного года, без участия субъекта МСП (</w:t>
      </w:r>
      <w:hyperlink r:id="rId26" w:anchor="block_41051" w:history="1">
        <w:r w:rsidR="00C43EA8">
          <w:rPr>
            <w:rStyle w:val="a4"/>
          </w:rPr>
          <w:t>п. 1 ч. 5 ст. 4.1</w:t>
        </w:r>
      </w:hyperlink>
      <w:r w:rsidR="00C43EA8">
        <w:t xml:space="preserve"> Закона N 209-ФЗ).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 xml:space="preserve">Положения вышеуказанных </w:t>
      </w:r>
      <w:hyperlink r:id="rId27" w:anchor="block_40112" w:history="1">
        <w:r w:rsidR="00C43EA8">
          <w:rPr>
            <w:rStyle w:val="a4"/>
          </w:rPr>
          <w:t>п.п. 2</w:t>
        </w:r>
      </w:hyperlink>
      <w:r w:rsidR="00C43EA8">
        <w:t xml:space="preserve">, </w:t>
      </w:r>
      <w:hyperlink r:id="rId28" w:anchor="block_4011201" w:history="1">
        <w:r w:rsidR="00C43EA8">
          <w:rPr>
            <w:rStyle w:val="a4"/>
          </w:rPr>
          <w:t>2.1</w:t>
        </w:r>
      </w:hyperlink>
      <w:r w:rsidR="00C43EA8">
        <w:t xml:space="preserve"> и </w:t>
      </w:r>
      <w:hyperlink r:id="rId29" w:anchor="block_40113" w:history="1">
        <w:r w:rsidR="00C43EA8">
          <w:rPr>
            <w:rStyle w:val="a4"/>
          </w:rPr>
          <w:t>3 ч. 1.1 ст. 4</w:t>
        </w:r>
      </w:hyperlink>
      <w:r w:rsidR="00C43EA8">
        <w:t xml:space="preserve"> Закона N 209-ФЗ, касающиеся условий отнесения к субъектам МСП по численности работников и доходу, вступили в </w:t>
      </w:r>
      <w:r w:rsidR="00C43EA8">
        <w:lastRenderedPageBreak/>
        <w:t xml:space="preserve">силу с 1 января 2016 года (ч. 2 ст. 10 Федерального закона от 29.12.2015). Поэтому впервые категория субъекта МСП была изменена при формировании реестра 10 августа 2019 года. Смотрите </w:t>
      </w:r>
      <w:hyperlink r:id="rId30" w:history="1">
        <w:r w:rsidR="00C43EA8">
          <w:rPr>
            <w:rStyle w:val="a4"/>
          </w:rPr>
          <w:t>письма</w:t>
        </w:r>
      </w:hyperlink>
      <w:r w:rsidR="00C43EA8">
        <w:t xml:space="preserve"> Минэкономразвития РФ от 27.01.2020 N Д13и-2174, ФНС России от 18.08.2016 N </w:t>
      </w:r>
      <w:hyperlink r:id="rId31" w:history="1">
        <w:r w:rsidR="00C43EA8">
          <w:rPr>
            <w:rStyle w:val="a4"/>
          </w:rPr>
          <w:t>14-2-04/0870@</w:t>
        </w:r>
      </w:hyperlink>
      <w:r w:rsidR="00C43EA8">
        <w:t xml:space="preserve">, от 10.05.2017 N </w:t>
      </w:r>
      <w:hyperlink r:id="rId32" w:history="1">
        <w:r w:rsidR="00C43EA8">
          <w:rPr>
            <w:rStyle w:val="a4"/>
          </w:rPr>
          <w:t>ГД-4-14/8720@</w:t>
        </w:r>
      </w:hyperlink>
      <w:r w:rsidR="00C43EA8">
        <w:t xml:space="preserve">, от 16.02.2017 N </w:t>
      </w:r>
      <w:hyperlink r:id="rId33" w:history="1">
        <w:r w:rsidR="00C43EA8">
          <w:rPr>
            <w:rStyle w:val="a4"/>
          </w:rPr>
          <w:t>ГД-4-14/2896@</w:t>
        </w:r>
      </w:hyperlink>
      <w:r w:rsidR="00C43EA8">
        <w:t xml:space="preserve"> и др.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>В данном случае, как мы поняли, по итогам 2017, 2018 и 2019 годов предельные значения по доходу и среднесписочной численности работников организацией не превышались, поэтому в 2020 году она продолжает признаваться малым предприятием. Если в 2020 году произойдет превышение показателя доходности, то, с учетом вышесказанного, организация продолжит относиться к категории малых предприятий в 2021 и в 2022 годах. И только в случае превышения предельных значений доходности и (или) численности работников по итогам 2020, 2021 и 2022 годов категория организации изменится на среднее предприятие с 2023 года. Дополнительно смотрите письмо Минэкономразвития РФ от 10.09.2015 N Д05и-1163.</w:t>
      </w:r>
    </w:p>
    <w:p w:rsidR="00C43EA8" w:rsidRDefault="00801BEB" w:rsidP="00FC75EB">
      <w:pPr>
        <w:pStyle w:val="a3"/>
        <w:jc w:val="both"/>
      </w:pPr>
      <w:r>
        <w:tab/>
      </w:r>
      <w:r w:rsidR="00C43EA8">
        <w:t xml:space="preserve">Отметим также, что, по мнению Минэкономразвития РФ, внесение изменений в </w:t>
      </w:r>
      <w:hyperlink r:id="rId34" w:anchor="block_44" w:history="1">
        <w:r w:rsidR="00C43EA8">
          <w:rPr>
            <w:rStyle w:val="a4"/>
          </w:rPr>
          <w:t>ч. 4 ст. 4</w:t>
        </w:r>
      </w:hyperlink>
      <w:r w:rsidR="00C43EA8">
        <w:t xml:space="preserve"> Закона N 209-ФЗ в части обеспечения возможности изменения категории субъекта малого или среднего предпринимательства по итогам одного календарного года не обеспечивает защиту интересов малого и среднего предпринимательства (</w:t>
      </w:r>
      <w:hyperlink r:id="rId35" w:history="1">
        <w:r w:rsidR="00C43EA8">
          <w:rPr>
            <w:rStyle w:val="a4"/>
          </w:rPr>
          <w:t>письмо</w:t>
        </w:r>
      </w:hyperlink>
      <w:r w:rsidR="00C43EA8">
        <w:t xml:space="preserve"> Минэкономразвития РФ от 22.01.2015 N Д05и-74).</w:t>
      </w:r>
    </w:p>
    <w:p w:rsidR="00FC75EB" w:rsidRDefault="00801BEB" w:rsidP="00FC75EB">
      <w:pPr>
        <w:pStyle w:val="a3"/>
        <w:jc w:val="both"/>
      </w:pPr>
      <w:r>
        <w:tab/>
      </w:r>
      <w:r w:rsidR="00C43EA8">
        <w:t>К сведению:</w:t>
      </w:r>
    </w:p>
    <w:p w:rsidR="00C43EA8" w:rsidRDefault="00C43EA8" w:rsidP="00FC75EB">
      <w:pPr>
        <w:pStyle w:val="a3"/>
        <w:jc w:val="both"/>
      </w:pPr>
      <w:r>
        <w:t>Обращаем внимание, что трехлетний срок установлен законом (</w:t>
      </w:r>
      <w:hyperlink r:id="rId36" w:anchor="block_44" w:history="1">
        <w:r>
          <w:rPr>
            <w:rStyle w:val="a4"/>
          </w:rPr>
          <w:t>часть 4 ст. 4</w:t>
        </w:r>
      </w:hyperlink>
      <w:r>
        <w:t xml:space="preserve"> Закона N 209-ФЗ) для изменения категории субъекта в рамках реестра субъектов МСП, и не касается ситуаций, связанных с исключением из него (</w:t>
      </w:r>
      <w:hyperlink r:id="rId37" w:history="1">
        <w:r>
          <w:rPr>
            <w:rStyle w:val="a4"/>
          </w:rPr>
          <w:t>постановления</w:t>
        </w:r>
      </w:hyperlink>
      <w:r>
        <w:t xml:space="preserve"> Второго арбитражного апелляционного суда от 06.08.2020 N 02АП-4565/20 по делу N А28-18117/2019, Девятого арбитражного апелляционного суда от 30.05.2018 N </w:t>
      </w:r>
      <w:hyperlink r:id="rId38" w:history="1">
        <w:r>
          <w:rPr>
            <w:rStyle w:val="a4"/>
          </w:rPr>
          <w:t>09АП-11048/18</w:t>
        </w:r>
      </w:hyperlink>
      <w:r>
        <w:t>, Четырнадцатого арбитражного апелляционного суда от 17.04.2019 N 14АП-2123/19 и др.).</w:t>
      </w:r>
      <w:r>
        <w:br/>
      </w:r>
    </w:p>
    <w:p w:rsidR="00C43EA8" w:rsidRDefault="00C43EA8" w:rsidP="00FC75EB">
      <w:pPr>
        <w:pStyle w:val="a3"/>
        <w:jc w:val="right"/>
      </w:pPr>
      <w:r>
        <w:rPr>
          <w:rStyle w:val="a5"/>
        </w:rPr>
        <w:t>Ответ подготовил:</w:t>
      </w:r>
      <w:r>
        <w:rPr>
          <w:i/>
          <w:iCs/>
        </w:rPr>
        <w:br/>
      </w:r>
      <w:r>
        <w:rPr>
          <w:rStyle w:val="a5"/>
        </w:rPr>
        <w:t>Эксперт службы Правового консалтинга ГАРАНТ</w:t>
      </w:r>
      <w:r>
        <w:rPr>
          <w:i/>
          <w:iCs/>
        </w:rPr>
        <w:br/>
      </w:r>
      <w:r>
        <w:rPr>
          <w:rStyle w:val="a5"/>
        </w:rPr>
        <w:t xml:space="preserve">профессиональный бухгалтер </w:t>
      </w:r>
      <w:proofErr w:type="spellStart"/>
      <w:r>
        <w:rPr>
          <w:rStyle w:val="a5"/>
        </w:rPr>
        <w:t>Лазукова</w:t>
      </w:r>
      <w:proofErr w:type="spellEnd"/>
      <w:r>
        <w:rPr>
          <w:rStyle w:val="a5"/>
        </w:rPr>
        <w:t xml:space="preserve"> Екатерина</w:t>
      </w:r>
    </w:p>
    <w:p w:rsidR="00332099" w:rsidRDefault="00C43EA8" w:rsidP="00FC75EB">
      <w:pPr>
        <w:pStyle w:val="a3"/>
        <w:jc w:val="right"/>
      </w:pPr>
      <w:r>
        <w:rPr>
          <w:rStyle w:val="a5"/>
        </w:rPr>
        <w:t>Ответ прошел контроль качества</w:t>
      </w:r>
    </w:p>
    <w:sectPr w:rsidR="00332099" w:rsidSect="0033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351"/>
    <w:multiLevelType w:val="multilevel"/>
    <w:tmpl w:val="77E0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616CA"/>
    <w:multiLevelType w:val="multilevel"/>
    <w:tmpl w:val="F5B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46CAA"/>
    <w:multiLevelType w:val="multilevel"/>
    <w:tmpl w:val="091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129CD"/>
    <w:multiLevelType w:val="multilevel"/>
    <w:tmpl w:val="B588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2C1DF8"/>
    <w:multiLevelType w:val="multilevel"/>
    <w:tmpl w:val="D7DA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70363D"/>
    <w:multiLevelType w:val="multilevel"/>
    <w:tmpl w:val="F32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C43EA8"/>
    <w:rsid w:val="000E1728"/>
    <w:rsid w:val="0022053E"/>
    <w:rsid w:val="002A1DEF"/>
    <w:rsid w:val="00332099"/>
    <w:rsid w:val="00682E73"/>
    <w:rsid w:val="00801BEB"/>
    <w:rsid w:val="009F1EED"/>
    <w:rsid w:val="00B9533B"/>
    <w:rsid w:val="00C0224A"/>
    <w:rsid w:val="00C43EA8"/>
    <w:rsid w:val="00C63BB1"/>
    <w:rsid w:val="00FC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99"/>
  </w:style>
  <w:style w:type="paragraph" w:styleId="4">
    <w:name w:val="heading 4"/>
    <w:basedOn w:val="a"/>
    <w:link w:val="40"/>
    <w:uiPriority w:val="9"/>
    <w:qFormat/>
    <w:rsid w:val="00FC7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EA8"/>
    <w:rPr>
      <w:color w:val="0000FF"/>
      <w:u w:val="single"/>
    </w:rPr>
  </w:style>
  <w:style w:type="character" w:styleId="a5">
    <w:name w:val="Emphasis"/>
    <w:basedOn w:val="a0"/>
    <w:uiPriority w:val="20"/>
    <w:qFormat/>
    <w:rsid w:val="00C43EA8"/>
    <w:rPr>
      <w:i/>
      <w:iCs/>
    </w:rPr>
  </w:style>
  <w:style w:type="paragraph" w:styleId="a6">
    <w:name w:val="No Spacing"/>
    <w:uiPriority w:val="1"/>
    <w:qFormat/>
    <w:rsid w:val="00FC75E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C7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FC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4854/5ac206a89ea76855804609cd950fcaf7/" TargetMode="External"/><Relationship Id="rId13" Type="http://schemas.openxmlformats.org/officeDocument/2006/relationships/hyperlink" Target="http://base.garant.ru/12137054/" TargetMode="External"/><Relationship Id="rId18" Type="http://schemas.openxmlformats.org/officeDocument/2006/relationships/hyperlink" Target="http://base.garant.ru/12154854/1b93c134b90c6071b4dc3f495464b753/" TargetMode="External"/><Relationship Id="rId26" Type="http://schemas.openxmlformats.org/officeDocument/2006/relationships/hyperlink" Target="http://base.garant.ru/12154854/7f465a618936f742d1d4ec69d9a6ef6b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12154854/1b93c134b90c6071b4dc3f495464b753/" TargetMode="External"/><Relationship Id="rId34" Type="http://schemas.openxmlformats.org/officeDocument/2006/relationships/hyperlink" Target="http://base.garant.ru/12154854/1b93c134b90c6071b4dc3f495464b753/" TargetMode="External"/><Relationship Id="rId7" Type="http://schemas.openxmlformats.org/officeDocument/2006/relationships/hyperlink" Target="http://base.garant.ru/12154854/" TargetMode="External"/><Relationship Id="rId12" Type="http://schemas.openxmlformats.org/officeDocument/2006/relationships/hyperlink" Target="http://base.garant.ru/12154854/7f465a618936f742d1d4ec69d9a6ef6b/" TargetMode="External"/><Relationship Id="rId17" Type="http://schemas.openxmlformats.org/officeDocument/2006/relationships/hyperlink" Target="http://base.garant.ru/12154854/1b93c134b90c6071b4dc3f495464b753/" TargetMode="External"/><Relationship Id="rId25" Type="http://schemas.openxmlformats.org/officeDocument/2006/relationships/hyperlink" Target="http://base.garant.ru/71410856/" TargetMode="External"/><Relationship Id="rId33" Type="http://schemas.openxmlformats.org/officeDocument/2006/relationships/hyperlink" Target="http://base.garant.ru/71613788/" TargetMode="External"/><Relationship Id="rId38" Type="http://schemas.openxmlformats.org/officeDocument/2006/relationships/hyperlink" Target="http://base.garant.ru/625701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54854/1b93c134b90c6071b4dc3f495464b753/" TargetMode="External"/><Relationship Id="rId20" Type="http://schemas.openxmlformats.org/officeDocument/2006/relationships/hyperlink" Target="http://base.garant.ru/12154854/1b93c134b90c6071b4dc3f495464b753/" TargetMode="External"/><Relationship Id="rId29" Type="http://schemas.openxmlformats.org/officeDocument/2006/relationships/hyperlink" Target="http://base.garant.ru/12154854/1b93c134b90c6071b4dc3f495464b75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2154854/" TargetMode="External"/><Relationship Id="rId11" Type="http://schemas.openxmlformats.org/officeDocument/2006/relationships/hyperlink" Target="http://base.garant.ru/12154854/7f465a618936f742d1d4ec69d9a6ef6b/" TargetMode="External"/><Relationship Id="rId24" Type="http://schemas.openxmlformats.org/officeDocument/2006/relationships/hyperlink" Target="http://base.garant.ru/12154854/1b93c134b90c6071b4dc3f495464b753/" TargetMode="External"/><Relationship Id="rId32" Type="http://schemas.openxmlformats.org/officeDocument/2006/relationships/hyperlink" Target="http://base.garant.ru/71674508/" TargetMode="External"/><Relationship Id="rId37" Type="http://schemas.openxmlformats.org/officeDocument/2006/relationships/hyperlink" Target="http://base.garant.ru/63942925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54854/1b93c134b90c6071b4dc3f495464b753/" TargetMode="External"/><Relationship Id="rId23" Type="http://schemas.openxmlformats.org/officeDocument/2006/relationships/hyperlink" Target="http://base.garant.ru/12154854/1b93c134b90c6071b4dc3f495464b753/" TargetMode="External"/><Relationship Id="rId28" Type="http://schemas.openxmlformats.org/officeDocument/2006/relationships/hyperlink" Target="http://base.garant.ru/12154854/1b93c134b90c6071b4dc3f495464b753/" TargetMode="External"/><Relationship Id="rId36" Type="http://schemas.openxmlformats.org/officeDocument/2006/relationships/hyperlink" Target="http://base.garant.ru/12154854/1b93c134b90c6071b4dc3f495464b753/" TargetMode="External"/><Relationship Id="rId10" Type="http://schemas.openxmlformats.org/officeDocument/2006/relationships/hyperlink" Target="http://base.garant.ru/12154854/7f465a618936f742d1d4ec69d9a6ef6b/" TargetMode="External"/><Relationship Id="rId19" Type="http://schemas.openxmlformats.org/officeDocument/2006/relationships/hyperlink" Target="http://base.garant.ru/12154854/1b93c134b90c6071b4dc3f495464b753/" TargetMode="External"/><Relationship Id="rId31" Type="http://schemas.openxmlformats.org/officeDocument/2006/relationships/hyperlink" Target="http://base.garant.ru/715230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54854/" TargetMode="External"/><Relationship Id="rId14" Type="http://schemas.openxmlformats.org/officeDocument/2006/relationships/hyperlink" Target="http://base.garant.ru/12154854/7f465a618936f742d1d4ec69d9a6ef6b/" TargetMode="External"/><Relationship Id="rId22" Type="http://schemas.openxmlformats.org/officeDocument/2006/relationships/hyperlink" Target="http://base.garant.ru/12154854/1b93c134b90c6071b4dc3f495464b753/" TargetMode="External"/><Relationship Id="rId27" Type="http://schemas.openxmlformats.org/officeDocument/2006/relationships/hyperlink" Target="http://base.garant.ru/12154854/1b93c134b90c6071b4dc3f495464b753/" TargetMode="External"/><Relationship Id="rId30" Type="http://schemas.openxmlformats.org/officeDocument/2006/relationships/hyperlink" Target="http://base.garant.ru/73659292/" TargetMode="External"/><Relationship Id="rId35" Type="http://schemas.openxmlformats.org/officeDocument/2006/relationships/hyperlink" Target="http://base.garant.ru/714582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0102-DDB3-4278-9564-FE458628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N-adm</dc:creator>
  <cp:lastModifiedBy>N-adm</cp:lastModifiedBy>
  <cp:revision>3</cp:revision>
  <dcterms:created xsi:type="dcterms:W3CDTF">2022-02-22T15:18:00Z</dcterms:created>
  <dcterms:modified xsi:type="dcterms:W3CDTF">2022-02-23T11:14:00Z</dcterms:modified>
</cp:coreProperties>
</file>